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before="160"/>
        <w:jc w:val="center"/>
      </w:pPr>
      <w:r>
        <w:rPr>
          <w:rFonts w:ascii="Arial" w:hAnsi="Arial" w:eastAsia="Arial" w:cs="Arial"/>
        </w:rPr>
        <w:t>Политика обработки персональных данных и использования файлов cookie Gappraisal</w:t>
      </w:r>
    </w:p>
    <w:p>
      <w:pPr>
        <w:spacing w:after="40"/>
        <w:jc w:val="center"/>
      </w:pPr>
      <w:r>
        <w:rPr>
          <w:rFonts w:ascii="Arial" w:hAnsi="Arial" w:eastAsia="Arial" w:cs="Arial"/>
          <w:color w:val="5E6878"/>
          <w:sz w:val="18"/>
        </w:rPr>
        <w:t>Редакция № 1.0 от 31.08.2026</w:t>
      </w:r>
    </w:p>
    <w:p>
      <w:r>
        <w:rPr>
          <w:rFonts w:ascii="Arial" w:hAnsi="Arial" w:eastAsia="Arial" w:cs="Arial"/>
        </w:rPr>
        <w:t>Дата вступления в силу: 31.08.2026</w:t>
      </w:r>
    </w:p>
    <w:p>
      <w:pPr>
        <w:pStyle w:val="Heading1"/>
      </w:pPr>
      <w:r>
        <w:rPr>
          <w:rFonts w:ascii="Arial" w:hAnsi="Arial" w:eastAsia="Arial" w:cs="Arial"/>
        </w:rPr>
        <w:t>1. Общие положения</w:t>
      </w:r>
    </w:p>
    <w:p>
      <w:r>
        <w:rPr>
          <w:rFonts w:ascii="Arial" w:hAnsi="Arial" w:eastAsia="Arial" w:cs="Arial"/>
        </w:rPr>
        <w:t>1.1. Настоящая Политика определяет порядок обработки и защиты персональных данных при использовании сайта https://gappraisal.me, приложения https://app.gappraisal.me, сервиса Gappraisal, форм обратной связи, электронной почты и связанных интеграций.</w:t>
      </w:r>
    </w:p>
    <w:p>
      <w:r>
        <w:rPr>
          <w:rFonts w:ascii="Arial" w:hAnsi="Arial" w:eastAsia="Arial" w:cs="Arial"/>
        </w:rPr>
        <w:t>1.2. Оператор:</w:t>
      </w:r>
    </w:p>
    <w:p>
      <w:r>
        <w:rPr>
          <w:rFonts w:ascii="Arial" w:hAnsi="Arial" w:eastAsia="Arial" w:cs="Arial"/>
        </w:rPr>
        <w:t>Общество с ограниченной ответственностью «ПРОЦЕСС НОЛЬ»</w:t>
      </w:r>
    </w:p>
    <w:p>
      <w:r>
        <w:rPr>
          <w:rFonts w:ascii="Arial" w:hAnsi="Arial" w:eastAsia="Arial" w:cs="Arial"/>
        </w:rPr>
        <w:t>ОГРН 1267700256702</w:t>
      </w:r>
    </w:p>
    <w:p>
      <w:r>
        <w:rPr>
          <w:rFonts w:ascii="Arial" w:hAnsi="Arial" w:eastAsia="Arial" w:cs="Arial"/>
        </w:rPr>
        <w:t>ИНН 9718299760</w:t>
      </w:r>
    </w:p>
    <w:p>
      <w:r>
        <w:rPr>
          <w:rFonts w:ascii="Arial" w:hAnsi="Arial" w:eastAsia="Arial" w:cs="Arial"/>
        </w:rPr>
        <w:t>КПП 771801001</w:t>
      </w:r>
    </w:p>
    <w:p>
      <w:r>
        <w:rPr>
          <w:rFonts w:ascii="Arial" w:hAnsi="Arial" w:eastAsia="Arial" w:cs="Arial"/>
        </w:rPr>
        <w:t>Адрес: 107553, г. Москва, ул. Большая Черкизовская, д. 22, корп. 6, кв. 77</w:t>
      </w:r>
    </w:p>
    <w:p>
      <w:r>
        <w:rPr>
          <w:rFonts w:ascii="Arial" w:hAnsi="Arial" w:eastAsia="Arial" w:cs="Arial"/>
        </w:rPr>
        <w:t>Электронная почта по вопросам персональных данных: support@gappraisal.me</w:t>
      </w:r>
    </w:p>
    <w:p>
      <w:r>
        <w:rPr>
          <w:rFonts w:ascii="Arial" w:hAnsi="Arial" w:eastAsia="Arial" w:cs="Arial"/>
        </w:rPr>
        <w:t>Сайт: https://gappraisal.me</w:t>
      </w:r>
    </w:p>
    <w:p>
      <w:r>
        <w:rPr>
          <w:rFonts w:ascii="Arial" w:hAnsi="Arial" w:eastAsia="Arial" w:cs="Arial"/>
        </w:rPr>
        <w:t>1.3. Политика разработана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 и иными применимыми актами Российской Федерации.</w:t>
      </w:r>
    </w:p>
    <w:p>
      <w:r>
        <w:rPr>
          <w:rFonts w:ascii="Arial" w:hAnsi="Arial" w:eastAsia="Arial" w:cs="Arial"/>
        </w:rPr>
        <w:t xml:space="preserve">1.4. Каждая редакция Политики публикуется по неизменяемому адресу </w:t>
      </w:r>
      <w:r>
        <w:rPr>
          <w:rFonts w:ascii="Consolas" w:hAnsi="Consolas" w:eastAsia="Consolas" w:cs="Consolas"/>
          <w:color w:val="25314A"/>
          <w:sz w:val="19"/>
        </w:rPr>
        <w:t>/legal/privacy/{version}</w:t>
      </w:r>
      <w:r>
        <w:rPr>
          <w:rFonts w:ascii="Arial" w:hAnsi="Arial" w:eastAsia="Arial" w:cs="Arial"/>
        </w:rPr>
        <w:t xml:space="preserve"> в HTML, PDF и DOCX с датами публикации и вступления и контрольными суммами. Адрес </w:t>
      </w:r>
      <w:r>
        <w:rPr>
          <w:rFonts w:ascii="Consolas" w:hAnsi="Consolas" w:eastAsia="Consolas" w:cs="Consolas"/>
          <w:color w:val="25314A"/>
          <w:sz w:val="19"/>
        </w:rPr>
        <w:t>/legal/privacy/current</w:t>
      </w:r>
      <w:r>
        <w:rPr>
          <w:rFonts w:ascii="Arial" w:hAnsi="Arial" w:eastAsia="Arial" w:cs="Arial"/>
        </w:rPr>
        <w:t xml:space="preserve"> указывает на действующую редакцию, а </w:t>
      </w:r>
      <w:r>
        <w:rPr>
          <w:rFonts w:ascii="Consolas" w:hAnsi="Consolas" w:eastAsia="Consolas" w:cs="Consolas"/>
          <w:color w:val="25314A"/>
          <w:sz w:val="19"/>
        </w:rPr>
        <w:t>/legal</w:t>
      </w:r>
      <w:r>
        <w:rPr>
          <w:rFonts w:ascii="Arial" w:hAnsi="Arial" w:eastAsia="Arial" w:cs="Arial"/>
        </w:rPr>
        <w:t xml:space="preserve"> содержит архив.</w:t>
      </w:r>
    </w:p>
    <w:p>
      <w:r>
        <w:rPr>
          <w:rFonts w:ascii="Arial" w:hAnsi="Arial" w:eastAsia="Arial" w:cs="Arial"/>
        </w:rPr>
        <w:t>1.5. Политика носит информационный характер и сама по себе не является согласием на обработку персональных данных. Если для обработки требуется согласие, оно запрашивается отдельно от Оферты, Политики и иных подтверждаемых пользователем документов.</w:t>
      </w:r>
    </w:p>
    <w:p>
      <w:pPr>
        <w:pStyle w:val="Heading1"/>
      </w:pPr>
      <w:r>
        <w:rPr>
          <w:rFonts w:ascii="Arial" w:hAnsi="Arial" w:eastAsia="Arial" w:cs="Arial"/>
        </w:rPr>
        <w:t>2. Термины и принципы</w:t>
      </w:r>
    </w:p>
    <w:p>
      <w:r>
        <w:rPr>
          <w:rFonts w:ascii="Arial" w:hAnsi="Arial" w:eastAsia="Arial" w:cs="Arial"/>
        </w:rPr>
        <w:t>2.1. Термины законодательства о персональных данных используются в установленном законом значении.</w:t>
      </w:r>
    </w:p>
    <w:p>
      <w:r>
        <w:rPr>
          <w:rFonts w:ascii="Arial" w:hAnsi="Arial" w:eastAsia="Arial" w:cs="Arial"/>
        </w:rPr>
        <w:t>2.2. Обработка осуществляется на законной и справедливой основе, для конкретных и заранее определённых целей.</w:t>
      </w:r>
    </w:p>
    <w:p>
      <w:r>
        <w:rPr>
          <w:rFonts w:ascii="Arial" w:hAnsi="Arial" w:eastAsia="Arial" w:cs="Arial"/>
        </w:rPr>
        <w:t>2.3. Не допускаются несовместимая с заявленными целями обработка, объединение несовместимых баз данных и сбор избыточных сведений.</w:t>
      </w:r>
    </w:p>
    <w:p>
      <w:r>
        <w:rPr>
          <w:rFonts w:ascii="Arial" w:hAnsi="Arial" w:eastAsia="Arial" w:cs="Arial"/>
        </w:rPr>
        <w:t>2.4. Оператор принимает разумные меры для обеспечения точности и актуальности данных.</w:t>
      </w:r>
    </w:p>
    <w:p>
      <w:r>
        <w:rPr>
          <w:rFonts w:ascii="Arial" w:hAnsi="Arial" w:eastAsia="Arial" w:cs="Arial"/>
        </w:rPr>
        <w:t>2.5. Данные хранятся не дольше, чем этого требуют цели обработки, договор или закон.</w:t>
      </w:r>
    </w:p>
    <w:p>
      <w:r>
        <w:rPr>
          <w:rFonts w:ascii="Arial" w:hAnsi="Arial" w:eastAsia="Arial" w:cs="Arial"/>
        </w:rPr>
        <w:t>2.6. По достижении цели или прекращении правового основания данные уничтожаются либо обезличиваются, если закон не требует иного.</w:t>
      </w:r>
    </w:p>
    <w:p>
      <w:pPr>
        <w:pStyle w:val="Heading1"/>
      </w:pPr>
      <w:r>
        <w:rPr>
          <w:rFonts w:ascii="Arial" w:hAnsi="Arial" w:eastAsia="Arial" w:cs="Arial"/>
        </w:rPr>
        <w:t>3. Роли при обработке данных</w:t>
      </w:r>
    </w:p>
    <w:p>
      <w:r>
        <w:rPr>
          <w:rFonts w:ascii="Arial" w:hAnsi="Arial" w:eastAsia="Arial" w:cs="Arial"/>
        </w:rPr>
        <w:t>3.1. ООО «ПРОЦЕСС НОЛЬ» является самостоятельным оператором в отношении: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посетителей сайта;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лиц, направляющих заявки и обращения;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представителей потенциальных и действующих заказчиков;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зарегистрированных пользователей в части администрирования учётных записей, информационной безопасности и подтверждения акцепта;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получателей договорных и служебных сообщений;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данных о расчётах и исполнении договоров;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обращений в поддержку;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технических журналов и собственной аналитики.</w:t>
      </w:r>
    </w:p>
    <w:p>
      <w:r>
        <w:rPr>
          <w:rFonts w:ascii="Arial" w:hAnsi="Arial" w:eastAsia="Arial" w:cs="Arial"/>
        </w:rPr>
        <w:t>3.2. Если организация-заказчик использует Gappraisal для оценки своих кандидатов, работников или подрядчиков, такая организация определяет цель, состав и правовые основания обработки и является оператором. ООО «ПРОЦЕСС НОЛЬ» обрабатывает содержание оценок по поручению этой организации.</w:t>
      </w:r>
    </w:p>
    <w:p>
      <w:r>
        <w:rPr>
          <w:rFonts w:ascii="Arial" w:hAnsi="Arial" w:eastAsia="Arial" w:cs="Arial"/>
        </w:rPr>
        <w:t>3.3. Наименование и контакты организации-заказчика указываются в приглашении, интерфейсе оценки либо сообщаются участнику организацией-заказчиком. По вопросам целей оценки, кадрового решения и правовых оснований субъекту следует обращаться прежде всего к соответствующей организации.</w:t>
      </w:r>
    </w:p>
    <w:p>
      <w:r>
        <w:rPr>
          <w:rFonts w:ascii="Arial" w:hAnsi="Arial" w:eastAsia="Arial" w:cs="Arial"/>
        </w:rPr>
        <w:t>3.4. Одни и те же сведения могут обрабатываться в разных ролях для разных целей. Например, адрес электронной почты кандидата используется по поручению Заказчика для направления приглашения, а техническая запись входа может обрабатываться ООО «ПРОЦЕСС НОЛЬ» самостоятельно для обеспечения безопасности.</w:t>
      </w:r>
    </w:p>
    <w:p>
      <w:pPr>
        <w:pStyle w:val="Heading1"/>
      </w:pPr>
      <w:r>
        <w:rPr>
          <w:rFonts w:ascii="Arial" w:hAnsi="Arial" w:eastAsia="Arial" w:cs="Arial"/>
        </w:rPr>
        <w:t>4. Источники данных</w:t>
      </w:r>
    </w:p>
    <w:p>
      <w:r>
        <w:rPr>
          <w:rFonts w:ascii="Arial" w:hAnsi="Arial" w:eastAsia="Arial" w:cs="Arial"/>
        </w:rPr>
        <w:t>4.1. Оператор может получать данные: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непосредственно от субъекта;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от организации-заказчика;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от уполномоченных пользователей Заказчика;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из информационной системы, интеграцию с которой активировал Заказчик;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автоматически от браузера, устройства, почтового клиента и серверной инфраструктуры;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из обращений, переписки и материалов технической поддержки;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из открытых источников в случаях, предусмотренных законом.</w:t>
      </w:r>
    </w:p>
    <w:p>
      <w:r>
        <w:rPr>
          <w:rFonts w:ascii="Arial" w:hAnsi="Arial" w:eastAsia="Arial" w:cs="Arial"/>
        </w:rPr>
        <w:t>4.2. Если данные получены не от субъекта, организация-заказчик обязана предварительно уведомить субъекта либо подтвердить наличие предусмотренного законом исключения.</w:t>
      </w:r>
    </w:p>
    <w:p>
      <w:pPr>
        <w:pStyle w:val="Heading1"/>
      </w:pPr>
      <w:r>
        <w:rPr>
          <w:rFonts w:ascii="Arial" w:hAnsi="Arial" w:eastAsia="Arial" w:cs="Arial"/>
        </w:rPr>
        <w:t>5. Категории субъектов и данных</w:t>
      </w:r>
    </w:p>
    <w:p>
      <w:pPr>
        <w:pStyle w:val="Heading2"/>
      </w:pPr>
      <w:r>
        <w:rPr>
          <w:rFonts w:ascii="Arial" w:hAnsi="Arial" w:eastAsia="Arial" w:cs="Arial"/>
        </w:rPr>
        <w:t>5.1. Посетители сайта и лица, направляющие заявки</w:t>
      </w:r>
    </w:p>
    <w:p>
      <w:pPr>
        <w:pStyle w:val="Heading3"/>
      </w:pPr>
      <w:r>
        <w:rPr>
          <w:rFonts w:ascii="Arial" w:hAnsi="Arial" w:eastAsia="Arial" w:cs="Arial"/>
        </w:rPr>
        <w:t>Могут обрабатываться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имя;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компания и должность;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адрес электронной почты и номер телефона;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содержание сообщения;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интересующий сценарий использования или пакет;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язык;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источник и рекламная кампания;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адрес посещённой страницы;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IP-адрес;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cookie, идентификатор сессии или текущей вкладки;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сведения о браузере, устройстве и операционной системе;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дата, время и технические события посещения.</w:t>
      </w:r>
    </w:p>
    <w:p>
      <w:pPr>
        <w:pStyle w:val="Heading3"/>
      </w:pPr>
      <w:r>
        <w:rPr>
          <w:rFonts w:ascii="Arial" w:hAnsi="Arial" w:eastAsia="Arial" w:cs="Arial"/>
        </w:rPr>
        <w:t>Цели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обработка заявки;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предоставление демонстрации и ответа;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подготовка к заключению договора;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работа сайта;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информационная безопасность;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оценка эффективности страниц и пользовательских сценариев.</w:t>
      </w:r>
    </w:p>
    <w:p>
      <w:pPr>
        <w:pStyle w:val="Heading3"/>
      </w:pPr>
      <w:r>
        <w:rPr>
          <w:rFonts w:ascii="Arial" w:hAnsi="Arial" w:eastAsia="Arial" w:cs="Arial"/>
        </w:rPr>
        <w:t>Правовые основания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согласие;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действия по запросу субъекта до заключения договора;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законные интересы Оператора в обеспечении безопасности и работоспособности при условии ненарушения прав субъекта;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требования закона.</w:t>
      </w:r>
    </w:p>
    <w:p>
      <w:pPr>
        <w:pStyle w:val="Heading3"/>
      </w:pPr>
      <w:r>
        <w:rPr>
          <w:rFonts w:ascii="Arial" w:hAnsi="Arial" w:eastAsia="Arial" w:cs="Arial"/>
        </w:rPr>
        <w:t>Срок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заявки и связанная переписка — не более 12 месяцев после последнего содержательного контакта, если договор не заключён;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при заключении договора — в течение договора и применимых сроков хранения документов и защиты прав;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маркетинговые сообщения — до отзыва отдельного согласия;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техническая аналитика — в сроки разделов 9 и 14.</w:t>
      </w:r>
    </w:p>
    <w:p>
      <w:pPr>
        <w:pStyle w:val="Heading2"/>
      </w:pPr>
      <w:r>
        <w:rPr>
          <w:rFonts w:ascii="Arial" w:hAnsi="Arial" w:eastAsia="Arial" w:cs="Arial"/>
        </w:rPr>
        <w:t>5.2. Представители и пользователи организаций</w:t>
      </w:r>
    </w:p>
    <w:p>
      <w:pPr>
        <w:pStyle w:val="Heading3"/>
      </w:pPr>
      <w:r>
        <w:rPr>
          <w:rFonts w:ascii="Arial" w:hAnsi="Arial" w:eastAsia="Arial" w:cs="Arial"/>
        </w:rPr>
        <w:t>Могут обрабатываться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фамилия, имя, отчество;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рабочий адрес электронной почты, логин и при наличии телефон;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компания, подразделение, должность, роль и полномочия;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язык интерфейса;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статус учётной записи и подтверждения email;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хеш пароля и иные данные аутентификации;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история существенных действий и настройки доступа;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IP-адрес, User-Agent, дата, время и результат входа;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 xml:space="preserve">сведения об акцепте Оферты: идентификатор комплекта, версии и серверные SHA-256 документов, снимок наименования организации, имени и email представителя, дата и время UTC, IP-адрес из доверенной proxy-цепочки, User-Agent, request/correlation ID, способ </w:t>
      </w:r>
      <w:r>
        <w:rPr>
          <w:rFonts w:ascii="Consolas" w:hAnsi="Consolas" w:eastAsia="Consolas" w:cs="Consolas"/>
          <w:color w:val="25314A"/>
          <w:sz w:val="19"/>
        </w:rPr>
        <w:t>PasswordRegistration</w:t>
      </w:r>
      <w:r>
        <w:rPr>
          <w:rFonts w:ascii="Arial" w:hAnsi="Arial" w:eastAsia="Arial" w:cs="Arial"/>
        </w:rPr>
        <w:t>, точный текст и факт установки обязательного чекбокса;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отдельное событие последующего подтверждения email; email при регистрации может быть ещё не подтверждён;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содержание обращений в поддержку;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реквизиты и история редакций платёжного профиля: юридическое наименование, ИНН, КПП, ОГРН или ОГРНИП, адрес, billing email, сведения о представителе и статус проверки или блокировки редакции;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сведения о плательщике, включая наименование или ФИО, ИНН и иные регистрационные реквизиты, банковские реквизиты в объёме, необходимом для идентификации платежа или исключительного возврата;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идентификаторы и реквизиты счетов и платежей, включая номер, назначение, внешний банковский идентификатор, дату, сумму, валюту, статус, распределение платежа, нераспределённую переплату и связь с плательщиком, договором и платным лотом.</w:t>
      </w:r>
    </w:p>
    <w:p>
      <w:pPr>
        <w:pStyle w:val="Heading3"/>
      </w:pPr>
      <w:r>
        <w:rPr>
          <w:rFonts w:ascii="Arial" w:hAnsi="Arial" w:eastAsia="Arial" w:cs="Arial"/>
        </w:rPr>
        <w:t>Цели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регистрация и ведение учётной записи;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предоставление доступа;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подтверждение полномочий и акцепта;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исполнение договора с организацией;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поддержка;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предотвращение неправомерного доступа;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бухгалтерский, налоговый и претензионный учёт.</w:t>
      </w:r>
    </w:p>
    <w:p>
      <w:pPr>
        <w:pStyle w:val="Heading3"/>
      </w:pPr>
      <w:r>
        <w:rPr>
          <w:rFonts w:ascii="Arial" w:hAnsi="Arial" w:eastAsia="Arial" w:cs="Arial"/>
        </w:rPr>
        <w:t>Правовые основания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согласие, когда оно требуется;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исполнение обязанностей и реализация прав по договору;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законные интересы Оператора и организации-заказчика;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выполнение требований законодательства.</w:t>
      </w:r>
    </w:p>
    <w:p>
      <w:pPr>
        <w:pStyle w:val="Heading3"/>
      </w:pPr>
      <w:r>
        <w:rPr>
          <w:rFonts w:ascii="Arial" w:hAnsi="Arial" w:eastAsia="Arial" w:cs="Arial"/>
        </w:rPr>
        <w:t>Срок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в течение отношений с организацией;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после прекращения — 30 дней для выгрузки сервисных данных;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договорные, расчётные и доказательственные сведения — в обязательные сроки либо до окончания применимого срока защиты прав;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журналы входов и технической аналитики — не более 12 месяцев, кроме материалов расследования инцидента.</w:t>
      </w:r>
    </w:p>
    <w:p>
      <w:pPr>
        <w:pStyle w:val="Heading2"/>
      </w:pPr>
      <w:r>
        <w:rPr>
          <w:rFonts w:ascii="Arial" w:hAnsi="Arial" w:eastAsia="Arial" w:cs="Arial"/>
        </w:rPr>
        <w:t>5.3. Кандидаты, работники и иные участники оценок</w:t>
      </w:r>
    </w:p>
    <w:p>
      <w:pPr>
        <w:pStyle w:val="Heading3"/>
      </w:pPr>
      <w:r>
        <w:rPr>
          <w:rFonts w:ascii="Arial" w:hAnsi="Arial" w:eastAsia="Arial" w:cs="Arial"/>
        </w:rPr>
        <w:t>По поручению организации-заказчика могут обрабатываться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фамилия, имя, отчество;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email, логин и при наличии телефон;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компания, подразделение, должность, роль, специализация;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содержание назначенных вопросов и заданий;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текстовые ответы;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аудиозаписи ответов и интервью;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автоматические и исправленные транскрипты;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даты, время, продолжительность и статусы прохождения;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баллы, оценки и уровни уверенности;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выдержки из ответов и временные метки;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промежуточная и итоговая обратная связь;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сильные стороны, риски, рекомендации и предлагаемые следующие действия;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сформированные отчёты и учебные рекомендации;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комментарии интервьюера;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идентификаторы и статусы подключённых Заказчиком интеграций;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технические данные сессии и события безопасности;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сведения о доставке, открытии и переходе по служебному приглашению.</w:t>
      </w:r>
    </w:p>
    <w:p>
      <w:pPr>
        <w:pStyle w:val="Heading3"/>
      </w:pPr>
      <w:r>
        <w:rPr>
          <w:rFonts w:ascii="Arial" w:hAnsi="Arial" w:eastAsia="Arial" w:cs="Arial"/>
        </w:rPr>
        <w:t>Цели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приглашение и допуск к оценке;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запись и транскрибирование ответов;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проверка и исправление транскрипта;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анализ ответов по критериям Заказчика;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формирование отчёта и рекомендаций;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предоставление результата участнику и уполномоченным представителям Заказчика;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поддержка и устранение технических ошибок;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обеспечение безопасности.</w:t>
      </w:r>
    </w:p>
    <w:p>
      <w:r>
        <w:rPr>
          <w:rFonts w:ascii="Arial" w:hAnsi="Arial" w:eastAsia="Arial" w:cs="Arial"/>
        </w:rPr>
        <w:t>Правовое основание определяет организация-заказчик. ООО «ПРОЦЕСС НОЛЬ» действует на основании поручения, являющегося приложением к Оферте.</w:t>
      </w:r>
    </w:p>
    <w:p>
      <w:r>
        <w:rPr>
          <w:rFonts w:ascii="Arial" w:hAnsi="Arial" w:eastAsia="Arial" w:cs="Arial"/>
        </w:rPr>
        <w:t>Срок определяется Заказчиком в пределах договора. После его прекращения предоставляется 30 календарных дней для выгрузки, затем данные удаляются в порядке раздела 9.</w:t>
      </w:r>
    </w:p>
    <w:p>
      <w:pPr>
        <w:pStyle w:val="Heading2"/>
      </w:pPr>
      <w:r>
        <w:rPr>
          <w:rFonts w:ascii="Arial" w:hAnsi="Arial" w:eastAsia="Arial" w:cs="Arial"/>
        </w:rPr>
        <w:t>5.4. Получатели электронных сообщений</w:t>
      </w:r>
    </w:p>
    <w:p>
      <w:pPr>
        <w:pStyle w:val="Heading3"/>
      </w:pPr>
      <w:r>
        <w:rPr>
          <w:rFonts w:ascii="Arial" w:hAnsi="Arial" w:eastAsia="Arial" w:cs="Arial"/>
        </w:rPr>
        <w:t>Могут обрабатываться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email;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имя и язык;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организация и роль;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идентификатор и статус сообщения;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даты отправки, доставки, отказа, первой загрузки отслеживаемого изображения, первого перехода по ссылке и связанного действия;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причина недоставки;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факт отказа от маркетинговой рассылки.</w:t>
      </w:r>
    </w:p>
    <w:p>
      <w:pPr>
        <w:pStyle w:val="Heading3"/>
      </w:pPr>
      <w:r>
        <w:rPr>
          <w:rFonts w:ascii="Arial" w:hAnsi="Arial" w:eastAsia="Arial" w:cs="Arial"/>
        </w:rPr>
        <w:t>Цели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доставка приглашений, уведомлений и сообщений безопасности;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контроль доставки;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предотвращение повторной отправки на недействующие адреса;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выявление сбоев;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ведение агрегированной статистики.</w:t>
      </w:r>
    </w:p>
    <w:p>
      <w:r>
        <w:rPr>
          <w:rFonts w:ascii="Arial" w:hAnsi="Arial" w:eastAsia="Arial" w:cs="Arial"/>
        </w:rPr>
        <w:t>Детальные отметки аналитики сообщений хранятся не более 12 месяцев. Сведения о запрете отправки могут храниться дольше, пока это необходимо для соблюдения отказа субъекта.</w:t>
      </w:r>
    </w:p>
    <w:p>
      <w:pPr>
        <w:pStyle w:val="Heading1"/>
      </w:pPr>
      <w:r>
        <w:rPr>
          <w:rFonts w:ascii="Arial" w:hAnsi="Arial" w:eastAsia="Arial" w:cs="Arial"/>
        </w:rPr>
        <w:t>6. Специальные и биометрические данные</w:t>
      </w:r>
    </w:p>
    <w:p>
      <w:r>
        <w:rPr>
          <w:rFonts w:ascii="Arial" w:hAnsi="Arial" w:eastAsia="Arial" w:cs="Arial"/>
        </w:rPr>
        <w:t>6.1. Gappraisal не предназначен для целенаправленной обработки данных о расовой или национальной принадлежности, политических взглядах, религиозных или философских убеждениях, состоянии здоровья, интимной жизни, судимости или иных специальных категорий.</w:t>
      </w:r>
    </w:p>
    <w:p>
      <w:r>
        <w:rPr>
          <w:rFonts w:ascii="Arial" w:hAnsi="Arial" w:eastAsia="Arial" w:cs="Arial"/>
        </w:rPr>
        <w:t>6.2. Не следует включать такие сведения в вопросы, ответы, резюме, интервью и обращения, если отсутствует специальное законное основание.</w:t>
      </w:r>
    </w:p>
    <w:p>
      <w:r>
        <w:rPr>
          <w:rFonts w:ascii="Arial" w:hAnsi="Arial" w:eastAsia="Arial" w:cs="Arial"/>
        </w:rPr>
        <w:t>6.3. Сервис не использует голос, изображение или иные физиологические характеристики для установления личности. Аудио обрабатывается как содержание ответа.</w:t>
      </w:r>
    </w:p>
    <w:p>
      <w:r>
        <w:rPr>
          <w:rFonts w:ascii="Arial" w:hAnsi="Arial" w:eastAsia="Arial" w:cs="Arial"/>
        </w:rPr>
        <w:t>6.4. Если организация намерена использовать данные для биометрической идентификации, такая обработка не входит в стандартную функциональность и не допускается без отдельного письменного соглашения и предусмотренного законом письменного согласия.</w:t>
      </w:r>
    </w:p>
    <w:p>
      <w:pPr>
        <w:pStyle w:val="Heading1"/>
      </w:pPr>
      <w:r>
        <w:rPr>
          <w:rFonts w:ascii="Arial" w:hAnsi="Arial" w:eastAsia="Arial" w:cs="Arial"/>
        </w:rPr>
        <w:t>7. Аудиозапись, автоматический анализ и участие человека</w:t>
      </w:r>
    </w:p>
    <w:p>
      <w:r>
        <w:rPr>
          <w:rFonts w:ascii="Arial" w:hAnsi="Arial" w:eastAsia="Arial" w:cs="Arial"/>
        </w:rPr>
        <w:t>7.1. До начала записи организация-заказчик обязана уведомить всех записываемых лиц и обеспечить применимое правовое основание.</w:t>
      </w:r>
    </w:p>
    <w:p>
      <w:r>
        <w:rPr>
          <w:rFonts w:ascii="Arial" w:hAnsi="Arial" w:eastAsia="Arial" w:cs="Arial"/>
        </w:rPr>
        <w:t>7.2. Аудио может передаваться сервисам автоматического распознавания речи, а текст ответа — сервисам автоматического анализа, действующим в пределах поручения.</w:t>
      </w:r>
    </w:p>
    <w:p>
      <w:r>
        <w:rPr>
          <w:rFonts w:ascii="Arial" w:hAnsi="Arial" w:eastAsia="Arial" w:cs="Arial"/>
        </w:rPr>
        <w:t>7.3. Данные клиентов не используются для обучения, дообучения, тонкой настройки, проверки или создания собственных либо сторонних моделей и наборов данных.</w:t>
      </w:r>
    </w:p>
    <w:p>
      <w:r>
        <w:rPr>
          <w:rFonts w:ascii="Arial" w:hAnsi="Arial" w:eastAsia="Arial" w:cs="Arial"/>
        </w:rPr>
        <w:t>7.4. Автоматически сформированные транскрипты, баллы, выводы и рекомендации могут содержать ошибки и являются вспомогательными.</w:t>
      </w:r>
    </w:p>
    <w:p>
      <w:r>
        <w:rPr>
          <w:rFonts w:ascii="Arial" w:hAnsi="Arial" w:eastAsia="Arial" w:cs="Arial"/>
        </w:rPr>
        <w:t>7.5. ООО «ПРОЦЕСС НОЛЬ» не принимает решений о найме, увольнении, переводе, оплате, допуске к работе или иных юридически значимых решений.</w:t>
      </w:r>
    </w:p>
    <w:p>
      <w:r>
        <w:rPr>
          <w:rFonts w:ascii="Arial" w:hAnsi="Arial" w:eastAsia="Arial" w:cs="Arial"/>
        </w:rPr>
        <w:t>7.6. Организация-заказчик должна проверить результат человеком, учитывать контекст и предоставить субъекту возможность сообщить о неточности, пояснить ответ и добиться пересмотра человеком.</w:t>
      </w:r>
    </w:p>
    <w:p>
      <w:pPr>
        <w:pStyle w:val="Heading1"/>
      </w:pPr>
      <w:r>
        <w:rPr>
          <w:rFonts w:ascii="Arial" w:hAnsi="Arial" w:eastAsia="Arial" w:cs="Arial"/>
        </w:rPr>
        <w:t>8. Операции и условия обработки</w:t>
      </w:r>
    </w:p>
    <w:p>
      <w:r>
        <w:rPr>
          <w:rFonts w:ascii="Arial" w:hAnsi="Arial" w:eastAsia="Arial" w:cs="Arial"/>
        </w:rPr>
        <w:t>8.1. Обработка включает сбор, запись, систематизацию, накопление, хранение, уточнение, извлечение, использование, сопоставление, автоматический анализ, предоставление уполномоченным лицам, передачу обработчикам, обезличивание, блокирование, удаление и уничтожение.</w:t>
      </w:r>
    </w:p>
    <w:p>
      <w:r>
        <w:rPr>
          <w:rFonts w:ascii="Arial" w:hAnsi="Arial" w:eastAsia="Arial" w:cs="Arial"/>
        </w:rPr>
        <w:t>8.2. Обработка осуществляется с использованием средств автоматизации и, при поддержке или расследовании инцидента, без них.</w:t>
      </w:r>
    </w:p>
    <w:p>
      <w:r>
        <w:rPr>
          <w:rFonts w:ascii="Arial" w:hAnsi="Arial" w:eastAsia="Arial" w:cs="Arial"/>
        </w:rPr>
        <w:t>8.3. Доступ к данным предоставляется только лицам, которым он необходим для выполнения обязанностей.</w:t>
      </w:r>
    </w:p>
    <w:p>
      <w:r>
        <w:rPr>
          <w:rFonts w:ascii="Arial" w:hAnsi="Arial" w:eastAsia="Arial" w:cs="Arial"/>
        </w:rPr>
        <w:t>8.4. Оператор не продаёт персональные данные и не размещает их в открытом доступе.</w:t>
      </w:r>
    </w:p>
    <w:p>
      <w:r>
        <w:rPr>
          <w:rFonts w:ascii="Arial" w:hAnsi="Arial" w:eastAsia="Arial" w:cs="Arial"/>
        </w:rPr>
        <w:t>8.5. Распространение допускается только при наличии отдельного законного основания и с соблюдением установленных субъектом запретов и условий.</w:t>
      </w:r>
    </w:p>
    <w:p>
      <w:pPr>
        <w:pStyle w:val="Heading1"/>
      </w:pPr>
      <w:r>
        <w:rPr>
          <w:rFonts w:ascii="Arial" w:hAnsi="Arial" w:eastAsia="Arial" w:cs="Arial"/>
        </w:rPr>
        <w:t>9. Сроки хранения и уничтожение</w:t>
      </w:r>
    </w:p>
    <w:p>
      <w:r>
        <w:rPr>
          <w:rFonts w:ascii="Arial" w:hAnsi="Arial" w:eastAsia="Arial" w:cs="Arial"/>
        </w:rPr>
        <w:t>9.1. Данные хранятся до достижения цели, прекращения договора или отзыва согласия, если отсутствует другое законное основание.</w:t>
      </w:r>
    </w:p>
    <w:p>
      <w:r>
        <w:rPr>
          <w:rFonts w:ascii="Arial" w:hAnsi="Arial" w:eastAsia="Arial" w:cs="Arial"/>
        </w:rPr>
        <w:t>9.2. Основные сроки: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заявки без последующего договора — 12 месяцев после последнего контакта;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маркетинговые коммуникации — до отзыва согласия;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данные рабочего пространства, пользователей, кандидатов, аудио, транскрипты, оценки и отчёты — в течение договора и 30 дней после его прекращения для выгрузки;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аналитика писем, пользовательского пути и входов — 12 месяцев;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обращения поддержки — в течение обработки обращения и до трёх лет после его завершения, если материал необходим для защиты прав;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сведения о договоре, платежах и акцепте — в течение обязательного срока хранения и срока защиты прав;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материалы инцидента — до завершения расследования и в течение срока, необходимого для исполнения требований и защиты прав;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cookie — в соответствии с пунктом 14.8.</w:t>
      </w:r>
    </w:p>
    <w:p>
      <w:r>
        <w:rPr>
          <w:rFonts w:ascii="Arial" w:hAnsi="Arial" w:eastAsia="Arial" w:cs="Arial"/>
        </w:rPr>
        <w:t>9.3. По истечении 30 дней после прекращения договора данные рабочего пространства удаляются или необратимо обезличиваются, кроме обязательных к хранению сведений.</w:t>
      </w:r>
    </w:p>
    <w:p>
      <w:r>
        <w:rPr>
          <w:rFonts w:ascii="Arial" w:hAnsi="Arial" w:eastAsia="Arial" w:cs="Arial"/>
        </w:rPr>
        <w:t>9.4. Остаточные копии в резервных системах блокируются и уничтожаются в пределах технологического цикла. Они не используются для обычных операций. При восстановлении резервной копии ранее удалённые сведения повторно удаляются.</w:t>
      </w:r>
    </w:p>
    <w:p>
      <w:r>
        <w:rPr>
          <w:rFonts w:ascii="Arial" w:hAnsi="Arial" w:eastAsia="Arial" w:cs="Arial"/>
        </w:rPr>
        <w:t>9.5. Если немедленное физическое уничтожение невозможно, данные блокируются и уничтожаются в предельный срок, установленный законом.</w:t>
      </w:r>
    </w:p>
    <w:p>
      <w:r>
        <w:rPr>
          <w:rFonts w:ascii="Arial" w:hAnsi="Arial" w:eastAsia="Arial" w:cs="Arial"/>
        </w:rPr>
        <w:t>9.6. Уничтожение подтверждается средствами информационной системы, актом, журналом либо иным способом, позволяющим установить факт выполнения.</w:t>
      </w:r>
    </w:p>
    <w:p>
      <w:pPr>
        <w:pStyle w:val="Heading1"/>
      </w:pPr>
      <w:r>
        <w:rPr>
          <w:rFonts w:ascii="Arial" w:hAnsi="Arial" w:eastAsia="Arial" w:cs="Arial"/>
        </w:rPr>
        <w:t>10. Предоставление данных и субобработчики</w:t>
      </w:r>
    </w:p>
    <w:p>
      <w:r>
        <w:rPr>
          <w:rFonts w:ascii="Arial" w:hAnsi="Arial" w:eastAsia="Arial" w:cs="Arial"/>
        </w:rPr>
        <w:t>10.1. Данные могут быть доступны: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организации-заказчику и её уполномоченным пользователям;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самому участнику — в части, предусмотренной интерфейсом и настройками;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уполномоченным работникам ООО «ПРОЦЕСС НОЛЬ»;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организациям, обеспечивающим серверную инфраструктуру, базы данных, файловое хранение и резервное копирование;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сервисам распознавания речи и автоматического анализа;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почтовым сервисам;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поставщикам мониторинга и информационной безопасности;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поставщикам поддержки;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сервисам интеграции, активированным Заказчиком;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государственным органам в предусмотренных законом случаях.</w:t>
      </w:r>
    </w:p>
    <w:p>
      <w:r>
        <w:rPr>
          <w:rFonts w:ascii="Arial" w:hAnsi="Arial" w:eastAsia="Arial" w:cs="Arial"/>
        </w:rPr>
        <w:t>10.2. Поставщики привлекаются на договорной основе с обязательствами по конфиденциальности, безопасности, ограничению целей и удалению данных.</w:t>
      </w:r>
    </w:p>
    <w:p>
      <w:r>
        <w:rPr>
          <w:rFonts w:ascii="Arial" w:hAnsi="Arial" w:eastAsia="Arial" w:cs="Arial"/>
        </w:rPr>
        <w:t>10.3. Поставщики моделей в публичной Политике не называются. Информация о конкретном получателе, стране и характере обработки предоставляется организации-заказчику конфиденциально по запросу в объёме, необходимом для исполнения обязанностей оператора.</w:t>
      </w:r>
    </w:p>
    <w:p>
      <w:r>
        <w:rPr>
          <w:rFonts w:ascii="Arial" w:hAnsi="Arial" w:eastAsia="Arial" w:cs="Arial"/>
        </w:rPr>
        <w:t>10.4. Субобработчикам запрещается использовать данные клиентов для обучения или улучшения моделей и для собственных целей.</w:t>
      </w:r>
    </w:p>
    <w:p>
      <w:r>
        <w:rPr>
          <w:rFonts w:ascii="Arial" w:hAnsi="Arial" w:eastAsia="Arial" w:cs="Arial"/>
        </w:rPr>
        <w:t>10.5. При реорганизации или переходе Сервиса к правопреемнику данные могут быть переданы при сохранении целей и уровня защиты, если такая передача законна.</w:t>
      </w:r>
    </w:p>
    <w:p>
      <w:pPr>
        <w:pStyle w:val="Heading1"/>
      </w:pPr>
      <w:r>
        <w:rPr>
          <w:rFonts w:ascii="Arial" w:hAnsi="Arial" w:eastAsia="Arial" w:cs="Arial"/>
        </w:rPr>
        <w:t>11. Локализация и трансграничная передача</w:t>
      </w:r>
    </w:p>
    <w:p>
      <w:r>
        <w:rPr>
          <w:rFonts w:ascii="Arial" w:hAnsi="Arial" w:eastAsia="Arial" w:cs="Arial"/>
        </w:rPr>
        <w:t>11.1. Первоначальная запись, систематизация, накопление, хранение, уточнение и извлечение персональных данных граждан Российской Федерации осуществляются с использованием баз данных на территории Российской Федерации, кроме предусмотренных законом исключений.</w:t>
      </w:r>
    </w:p>
    <w:p>
      <w:r>
        <w:rPr>
          <w:rFonts w:ascii="Arial" w:hAnsi="Arial" w:eastAsia="Arial" w:cs="Arial"/>
        </w:rPr>
        <w:t>11.2. Последующая трансграничная передача возможна только: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для заявленной цели;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при наличии правового основания;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после оценки получателя и государства;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после направления предварительного уведомления Роскомнадзору, когда оно требуется;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при соблюдении решения Роскомнадзора о разрешении, ограничении или запрете передачи;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 применением договорных и технических мер защиты.</w:t>
      </w:r>
    </w:p>
    <w:p>
      <w:r>
        <w:rPr>
          <w:rFonts w:ascii="Arial" w:hAnsi="Arial" w:eastAsia="Arial" w:cs="Arial"/>
        </w:rPr>
        <w:t>11.3. В отношении данных оценки решение о трансграничной передаче принимает организация-заказчик как оператор. ООО «ПРОЦЕСС НОЛЬ» предоставляет ей сведения, необходимые для выполнения требований закона.</w:t>
      </w:r>
    </w:p>
    <w:p>
      <w:r>
        <w:rPr>
          <w:rFonts w:ascii="Arial" w:hAnsi="Arial" w:eastAsia="Arial" w:cs="Arial"/>
        </w:rPr>
        <w:t>11.4. Если законная передача невозможна, соответствующий маршрут прекращается, а связанная функция может быть ограничена.</w:t>
      </w:r>
    </w:p>
    <w:p>
      <w:r>
        <w:rPr>
          <w:rFonts w:ascii="Arial" w:hAnsi="Arial" w:eastAsia="Arial" w:cs="Arial"/>
        </w:rPr>
        <w:t>11.5. Отказ от необязательной трансграничной передачи, связанной только с внешней веб-аналитикой, не ограничивает доступ к основным функциям Сервиса.</w:t>
      </w:r>
    </w:p>
    <w:p>
      <w:pPr>
        <w:pStyle w:val="Heading1"/>
      </w:pPr>
      <w:r>
        <w:rPr>
          <w:rFonts w:ascii="Arial" w:hAnsi="Arial" w:eastAsia="Arial" w:cs="Arial"/>
        </w:rPr>
        <w:t>12. Безопасность и инциденты</w:t>
      </w:r>
    </w:p>
    <w:p>
      <w:r>
        <w:rPr>
          <w:rFonts w:ascii="Arial" w:hAnsi="Arial" w:eastAsia="Arial" w:cs="Arial"/>
        </w:rPr>
        <w:t>12.1. Оператор принимает необходимые правовые, организационные и технические меры, включая: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назначение ответственного;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локальные акты и контроль соблюдения;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разграничение доступа;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аутентификацию;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учёт действий;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защиту каналов связи;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резервное копирование и восстановление;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управление уязвимостями;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антивирусную защиту;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обучение и обязательства работников;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оценку принимаемых мер;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реагирование на инциденты;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контроль привлечённых обработчиков.</w:t>
      </w:r>
    </w:p>
    <w:p>
      <w:r>
        <w:rPr>
          <w:rFonts w:ascii="Arial" w:hAnsi="Arial" w:eastAsia="Arial" w:cs="Arial"/>
        </w:rPr>
        <w:t>12.2. При установленной неправомерной или случайной передаче, предоставлении, распространении или доступе, повлекших нарушение прав субъектов, ООО «ПРОЦЕСС НОЛЬ» в своей роли оператора уведомляет Роскомнадзор: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в течение 24 часов — об инциденте, предполагаемых причинах, вреде и принятых мерах;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в течение 72 часов — о результатах внутреннего расследования и виновных лицах, если они установлены.</w:t>
      </w:r>
    </w:p>
    <w:p>
      <w:r>
        <w:rPr>
          <w:rFonts w:ascii="Arial" w:hAnsi="Arial" w:eastAsia="Arial" w:cs="Arial"/>
        </w:rPr>
        <w:t>12.3. Если инцидент относится к данным, обрабатываемым по поручению, ООО «ПРОЦЕСС НОЛЬ» без неоправданной задержки уведомляет организацию-заказчика и содействует её расследованию и уведомлениям.</w:t>
      </w:r>
    </w:p>
    <w:p>
      <w:r>
        <w:rPr>
          <w:rFonts w:ascii="Arial" w:hAnsi="Arial" w:eastAsia="Arial" w:cs="Arial"/>
        </w:rPr>
        <w:t>12.4. Субъекты уведомляются об инциденте в случаях и порядке, предусмотренных законом, предписанием уполномоченного органа или когда это необходимо для снижения существенного риска.</w:t>
      </w:r>
    </w:p>
    <w:p>
      <w:pPr>
        <w:pStyle w:val="Heading1"/>
      </w:pPr>
      <w:r>
        <w:rPr>
          <w:rFonts w:ascii="Arial" w:hAnsi="Arial" w:eastAsia="Arial" w:cs="Arial"/>
        </w:rPr>
        <w:t>13. Права субъектов</w:t>
      </w:r>
    </w:p>
    <w:p>
      <w:r>
        <w:rPr>
          <w:rFonts w:ascii="Arial" w:hAnsi="Arial" w:eastAsia="Arial" w:cs="Arial"/>
        </w:rPr>
        <w:t>13.1. Субъект вправе: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получать сведения об обработке своих данных;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знакомиться с данными;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требовать уточнения неточных или неполных данных;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требовать блокирования или уничтожения неправомерно обрабатываемых данных;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отозвать согласие;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потребовать прекращения обработки, если это предусмотрено законом;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отказаться от рекламных сообщений;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требовать участия человека и пересмотра результата, затрагивающего его права;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обжаловать действия или бездействие в Роскомнадзор или суд;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требовать возмещения убытков и компенсации морального вреда в предусмотренных законом случаях.</w:t>
      </w:r>
    </w:p>
    <w:p>
      <w:r>
        <w:rPr>
          <w:rFonts w:ascii="Arial" w:hAnsi="Arial" w:eastAsia="Arial" w:cs="Arial"/>
        </w:rPr>
        <w:t>13.2. Отзыв согласия не влияет на законность обработки, выполненной до его получения. После отзыва отдельные данные могут продолжать обрабатываться при наличии иного законного основания.</w:t>
      </w:r>
    </w:p>
    <w:p>
      <w:r>
        <w:rPr>
          <w:rFonts w:ascii="Arial" w:hAnsi="Arial" w:eastAsia="Arial" w:cs="Arial"/>
        </w:rPr>
        <w:t>13.3. Запрос направляется на support@gappraisal.me. В запросе следует указать: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фамилию, имя и отчество;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контакт для ответа;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организацию или оценку, к которой относится запрос;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содержание требования;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сведения, позволяющие разумно подтвердить личность и связь с обрабатываемыми данными.</w:t>
      </w:r>
    </w:p>
    <w:p>
      <w:r>
        <w:rPr>
          <w:rFonts w:ascii="Arial" w:hAnsi="Arial" w:eastAsia="Arial" w:cs="Arial"/>
        </w:rPr>
        <w:t>13.4. Оператор вправе запросить дополнительное подтверждение личности, если это необходимо для предотвращения раскрытия данных другому лицу. Избыточные сведения и копии документов не запрашиваются без необходимости.</w:t>
      </w:r>
    </w:p>
    <w:p>
      <w:r>
        <w:rPr>
          <w:rFonts w:ascii="Arial" w:hAnsi="Arial" w:eastAsia="Arial" w:cs="Arial"/>
        </w:rPr>
        <w:t>13.5. Ответ предоставляется в течение десяти рабочих дней. Срок может быть продлён не более чем на пять рабочих дней с направлением мотивированного уведомления.</w:t>
      </w:r>
    </w:p>
    <w:p>
      <w:r>
        <w:rPr>
          <w:rFonts w:ascii="Arial" w:hAnsi="Arial" w:eastAsia="Arial" w:cs="Arial"/>
        </w:rPr>
        <w:t>13.6. Если обращение относится к оценке, проводимой организацией-заказчиком, ООО «ПРОЦЕСС НОЛЬ» передаёт обращение этой организации и содействует исполнению. Это не ограничивает право субъекта обратиться к организации напрямую.</w:t>
      </w:r>
    </w:p>
    <w:p>
      <w:pPr>
        <w:pStyle w:val="Heading1"/>
      </w:pPr>
      <w:r>
        <w:rPr>
          <w:rFonts w:ascii="Arial" w:hAnsi="Arial" w:eastAsia="Arial" w:cs="Arial"/>
        </w:rPr>
        <w:t>14. Cookie, веб-аналитика и аналитика сообщений</w:t>
      </w:r>
    </w:p>
    <w:p>
      <w:r>
        <w:rPr>
          <w:rFonts w:ascii="Arial" w:hAnsi="Arial" w:eastAsia="Arial" w:cs="Arial"/>
        </w:rPr>
        <w:t xml:space="preserve">14.1. Сайт и приложение используют cookie, sessionStorage, localStorage и аналогичные технологии. Менеджер согласий разделяет их на категории </w:t>
      </w:r>
      <w:r>
        <w:rPr>
          <w:rFonts w:ascii="Consolas" w:hAnsi="Consolas" w:eastAsia="Consolas" w:cs="Consolas"/>
          <w:color w:val="25314A"/>
          <w:sz w:val="19"/>
        </w:rPr>
        <w:t>necessary</w:t>
      </w:r>
      <w:r>
        <w:rPr>
          <w:rFonts w:ascii="Arial" w:hAnsi="Arial" w:eastAsia="Arial" w:cs="Arial"/>
        </w:rPr>
        <w:t xml:space="preserve">, </w:t>
      </w:r>
      <w:r>
        <w:rPr>
          <w:rFonts w:ascii="Consolas" w:hAnsi="Consolas" w:eastAsia="Consolas" w:cs="Consolas"/>
          <w:color w:val="25314A"/>
          <w:sz w:val="19"/>
        </w:rPr>
        <w:t>analytics</w:t>
      </w:r>
      <w:r>
        <w:rPr>
          <w:rFonts w:ascii="Arial" w:hAnsi="Arial" w:eastAsia="Arial" w:cs="Arial"/>
        </w:rPr>
        <w:t xml:space="preserve"> и </w:t>
      </w:r>
      <w:r>
        <w:rPr>
          <w:rFonts w:ascii="Consolas" w:hAnsi="Consolas" w:eastAsia="Consolas" w:cs="Consolas"/>
          <w:color w:val="25314A"/>
          <w:sz w:val="19"/>
        </w:rPr>
        <w:t>externalMedia</w:t>
      </w:r>
      <w:r>
        <w:rPr>
          <w:rFonts w:ascii="Arial" w:hAnsi="Arial" w:eastAsia="Arial" w:cs="Arial"/>
        </w:rPr>
        <w:t>; сохранённый выбор связан с редакцией настоящей Политики.</w:t>
      </w:r>
    </w:p>
    <w:p>
      <w:r>
        <w:rPr>
          <w:rFonts w:ascii="Arial" w:hAnsi="Arial" w:eastAsia="Arial" w:cs="Arial"/>
        </w:rPr>
        <w:t>14.2. Строго необходимые технологии обеспечивают: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создание и защиту сессии;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вход и сохранение состояния аутентификации;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защиту от подделки запросов и злоупотреблений;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балансировку и техническую доступность;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сохранение языка и обязательных настроек;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запоминание выбора пользователя относительно cookie.</w:t>
      </w:r>
    </w:p>
    <w:p>
      <w:r>
        <w:rPr>
          <w:rFonts w:ascii="Arial" w:hAnsi="Arial" w:eastAsia="Arial" w:cs="Arial"/>
        </w:rPr>
        <w:t xml:space="preserve">14.3. Категория </w:t>
      </w:r>
      <w:r>
        <w:rPr>
          <w:rFonts w:ascii="Consolas" w:hAnsi="Consolas" w:eastAsia="Consolas" w:cs="Consolas"/>
          <w:color w:val="25314A"/>
          <w:sz w:val="19"/>
        </w:rPr>
        <w:t>necessary</w:t>
      </w:r>
      <w:r>
        <w:rPr>
          <w:rFonts w:ascii="Arial" w:hAnsi="Arial" w:eastAsia="Arial" w:cs="Arial"/>
        </w:rPr>
        <w:t xml:space="preserve"> активируется автоматически, поскольку без неё сайт или заказанная функция не могут работать безопасно. К ней относятся cookie аутентификации и защиты сессии, сохранение языка и обязательных настроек, а также запись выбора пользователя о категориях cookie. Эти технологии не используются для рекламы.</w:t>
      </w:r>
    </w:p>
    <w:p>
      <w:r>
        <w:rPr>
          <w:rFonts w:ascii="Arial" w:hAnsi="Arial" w:eastAsia="Arial" w:cs="Arial"/>
        </w:rPr>
        <w:t xml:space="preserve">14.4. Категория </w:t>
      </w:r>
      <w:r>
        <w:rPr>
          <w:rFonts w:ascii="Consolas" w:hAnsi="Consolas" w:eastAsia="Consolas" w:cs="Consolas"/>
          <w:color w:val="25314A"/>
          <w:sz w:val="19"/>
        </w:rPr>
        <w:t>analytics</w:t>
      </w:r>
      <w:r>
        <w:rPr>
          <w:rFonts w:ascii="Arial" w:hAnsi="Arial" w:eastAsia="Arial" w:cs="Arial"/>
        </w:rPr>
        <w:t xml:space="preserve"> включает собственную аналитику пути пользователя, Google Analytics и Яндекс Метрику, в том числе webvisor, если он включён в настройках счётчика. До явного согласия на эту категорию Сервис не создаёт идентификатор пути в sessionStorage, не отправляет собственные события воронки, не загружает скрипты, cookie, пиксели или иные ресурсы Google Analytics и Яндекс Метрики.</w:t>
      </w:r>
    </w:p>
    <w:p>
      <w:r>
        <w:rPr>
          <w:rFonts w:ascii="Arial" w:hAnsi="Arial" w:eastAsia="Arial" w:cs="Arial"/>
        </w:rPr>
        <w:t xml:space="preserve">14.5. После согласия на </w:t>
      </w:r>
      <w:r>
        <w:rPr>
          <w:rFonts w:ascii="Consolas" w:hAnsi="Consolas" w:eastAsia="Consolas" w:cs="Consolas"/>
          <w:color w:val="25314A"/>
          <w:sz w:val="19"/>
        </w:rPr>
        <w:t>analytics</w:t>
      </w:r>
      <w:r>
        <w:rPr>
          <w:rFonts w:ascii="Arial" w:hAnsi="Arial" w:eastAsia="Arial" w:cs="Arial"/>
        </w:rPr>
        <w:t xml:space="preserve"> для анализа пути от маркетинговой страницы до регистрации может создаваться случайный идентификатор текущей вкладки в sessionStorage. Он не сохраняется между сессиями браузера. Вместе с ним передаются путь страницы без параметров, язык, источник, кампания, выбранный сценарий и расположение кнопки. Значения полей форм в такую аналитику не передаются.</w:t>
      </w:r>
    </w:p>
    <w:p>
      <w:r>
        <w:rPr>
          <w:rFonts w:ascii="Arial" w:hAnsi="Arial" w:eastAsia="Arial" w:cs="Arial"/>
        </w:rPr>
        <w:t>14.6. Google Analytics (Google LLC) и Яндекс Метрика (ООО «ЯНДЕКС») после согласия могут получать cookie-идентификатор, IP-адрес, сведения о браузере и устройстве, посещённую страницу, источник перехода, дату, время и события взаимодействия. Google Analytics может предполагать трансграничную передачу; такая передача включается только при наличии применимого правового основания и выполнении обязательных предварительных процедур. Яндекс Метрика может применять технологию записи взаимодействий с интерфейсом; поля регистрации и иные вводимые пользователем значения не должны передаваться провайдеру.</w:t>
      </w:r>
    </w:p>
    <w:p>
      <w:r>
        <w:rPr>
          <w:rFonts w:ascii="Arial" w:hAnsi="Arial" w:eastAsia="Arial" w:cs="Arial"/>
        </w:rPr>
        <w:t xml:space="preserve">14.7. Категория </w:t>
      </w:r>
      <w:r>
        <w:rPr>
          <w:rFonts w:ascii="Consolas" w:hAnsi="Consolas" w:eastAsia="Consolas" w:cs="Consolas"/>
          <w:color w:val="25314A"/>
          <w:sz w:val="19"/>
        </w:rPr>
        <w:t>externalMedia</w:t>
      </w:r>
      <w:r>
        <w:rPr>
          <w:rFonts w:ascii="Arial" w:hAnsi="Arial" w:eastAsia="Arial" w:cs="Arial"/>
        </w:rPr>
        <w:t xml:space="preserve"> разрешает загрузку внешних видеоматериалов, в частности YouTube в режиме </w:t>
      </w:r>
      <w:r>
        <w:rPr>
          <w:rFonts w:ascii="Consolas" w:hAnsi="Consolas" w:eastAsia="Consolas" w:cs="Consolas"/>
          <w:color w:val="25314A"/>
          <w:sz w:val="19"/>
        </w:rPr>
        <w:t>youtube-nocookie.com</w:t>
      </w:r>
      <w:r>
        <w:rPr>
          <w:rFonts w:ascii="Arial" w:hAnsi="Arial" w:eastAsia="Arial" w:cs="Arial"/>
        </w:rPr>
        <w:t>. До отдельного разрешения iframe и соединение с поставщиком не создаются. Пользователь может разрешить внешние медиа независимо от аналитики.</w:t>
      </w:r>
    </w:p>
    <w:p>
      <w:r>
        <w:rPr>
          <w:rFonts w:ascii="Arial" w:hAnsi="Arial" w:eastAsia="Arial" w:cs="Arial"/>
        </w:rPr>
        <w:t>14.8. Служебные письма могут содержать уникальные ссылки и невидимое изображение размером 1 × 1 пиксель. Они позволяют зафиксировать первую загрузку изображения, первый переход и связанное действие для контроля доставки и выявления сбоев. Для собственной аналитики писем Оператор не сохраняет IP-адрес и характеристики устройства получателя. Показатель открытия приблизителен из-за блокировки или автоматической загрузки изображений почтовым клиентом.</w:t>
      </w:r>
    </w:p>
    <w:p>
      <w:r>
        <w:rPr>
          <w:rFonts w:ascii="Arial" w:hAnsi="Arial" w:eastAsia="Arial" w:cs="Arial"/>
        </w:rPr>
        <w:t>14.9. Сроки: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сессионные cookie и sessionStorage — до закрытия вкладки, браузера или окончания сессии;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cookie аутентификации — до выхода либо истечения установленного срока, но не более 365 дней;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cookie и localStorage выбора языка, настроек и согласий — не более 365 дней и до смены связанной редакции Политики;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собственные детальные события пользовательского пути — не более 12 месяцев;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детальные события писем — не более 12 месяцев;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идентификаторы Google Analytics и Яндекс Метрики — в соответствии с настройками провайдера и согласия, но не более 24 месяцев;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 xml:space="preserve">данные внешнего видеопровайдера — в соответствии с его технологией и настройками браузера после разрешения категории </w:t>
      </w:r>
      <w:r>
        <w:rPr>
          <w:rFonts w:ascii="Consolas" w:hAnsi="Consolas" w:eastAsia="Consolas" w:cs="Consolas"/>
          <w:color w:val="25314A"/>
          <w:sz w:val="19"/>
        </w:rPr>
        <w:t>externalMedia</w:t>
      </w:r>
      <w:r>
        <w:rPr>
          <w:rFonts w:ascii="Arial" w:hAnsi="Arial" w:eastAsia="Arial" w:cs="Arial"/>
        </w:rPr>
        <w:t>, но не более срока, заявленного провайдером для соответствующего идентификатора;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агрегированные необратимо обезличенные показатели могут храниться без ограничения, пока они не позволяют определить лицо.</w:t>
      </w:r>
    </w:p>
    <w:p>
      <w:r>
        <w:rPr>
          <w:rFonts w:ascii="Arial" w:hAnsi="Arial" w:eastAsia="Arial" w:cs="Arial"/>
        </w:rPr>
        <w:t xml:space="preserve">14.10. Пользователь может разрешить или запретить </w:t>
      </w:r>
      <w:r>
        <w:rPr>
          <w:rFonts w:ascii="Consolas" w:hAnsi="Consolas" w:eastAsia="Consolas" w:cs="Consolas"/>
          <w:color w:val="25314A"/>
          <w:sz w:val="19"/>
        </w:rPr>
        <w:t>analytics</w:t>
      </w:r>
      <w:r>
        <w:rPr>
          <w:rFonts w:ascii="Arial" w:hAnsi="Arial" w:eastAsia="Arial" w:cs="Arial"/>
        </w:rPr>
        <w:t xml:space="preserve"> и </w:t>
      </w:r>
      <w:r>
        <w:rPr>
          <w:rFonts w:ascii="Consolas" w:hAnsi="Consolas" w:eastAsia="Consolas" w:cs="Consolas"/>
          <w:color w:val="25314A"/>
          <w:sz w:val="19"/>
        </w:rPr>
        <w:t>externalMedia</w:t>
      </w:r>
      <w:r>
        <w:rPr>
          <w:rFonts w:ascii="Arial" w:hAnsi="Arial" w:eastAsia="Arial" w:cs="Arial"/>
        </w:rPr>
        <w:t xml:space="preserve"> независимо, отказаться от обеих категорий, позднее изменить выбор или отозвать согласие через постоянно доступную кнопку настройки cookie. При отзыве Сервис прекращает будущие запросы и удаляет доступные ему необязательные идентификаторы из браузера; уже переданные провайдеру данные обрабатываются по применимым основаниям и срокам. Удаление хранилища браузера также сбрасывает выбор. Отзыв не влияет на категорию </w:t>
      </w:r>
      <w:r>
        <w:rPr>
          <w:rFonts w:ascii="Consolas" w:hAnsi="Consolas" w:eastAsia="Consolas" w:cs="Consolas"/>
          <w:color w:val="25314A"/>
          <w:sz w:val="19"/>
        </w:rPr>
        <w:t>necessary</w:t>
      </w:r>
      <w:r>
        <w:rPr>
          <w:rFonts w:ascii="Arial" w:hAnsi="Arial" w:eastAsia="Arial" w:cs="Arial"/>
        </w:rPr>
        <w:t>.</w:t>
      </w:r>
    </w:p>
    <w:p>
      <w:r>
        <w:rPr>
          <w:rFonts w:ascii="Arial" w:hAnsi="Arial" w:eastAsia="Arial" w:cs="Arial"/>
        </w:rPr>
        <w:t xml:space="preserve">14.11. Блокировка строго необходимых cookie может привести к невозможности входа или использования отдельных функций. Отказ от </w:t>
      </w:r>
      <w:r>
        <w:rPr>
          <w:rFonts w:ascii="Consolas" w:hAnsi="Consolas" w:eastAsia="Consolas" w:cs="Consolas"/>
          <w:color w:val="25314A"/>
          <w:sz w:val="19"/>
        </w:rPr>
        <w:t>analytics</w:t>
      </w:r>
      <w:r>
        <w:rPr>
          <w:rFonts w:ascii="Arial" w:hAnsi="Arial" w:eastAsia="Arial" w:cs="Arial"/>
        </w:rPr>
        <w:t xml:space="preserve"> и </w:t>
      </w:r>
      <w:r>
        <w:rPr>
          <w:rFonts w:ascii="Consolas" w:hAnsi="Consolas" w:eastAsia="Consolas" w:cs="Consolas"/>
          <w:color w:val="25314A"/>
          <w:sz w:val="19"/>
        </w:rPr>
        <w:t>externalMedia</w:t>
      </w:r>
      <w:r>
        <w:rPr>
          <w:rFonts w:ascii="Arial" w:hAnsi="Arial" w:eastAsia="Arial" w:cs="Arial"/>
        </w:rPr>
        <w:t xml:space="preserve"> не ограничивает регистрацию и основные функции; вместо внешнего видео отображается локальная заглушка с возможностью разрешить загрузку.</w:t>
      </w:r>
    </w:p>
    <w:p>
      <w:pPr>
        <w:pStyle w:val="Heading1"/>
      </w:pPr>
      <w:r>
        <w:rPr>
          <w:rFonts w:ascii="Arial" w:hAnsi="Arial" w:eastAsia="Arial" w:cs="Arial"/>
        </w:rPr>
        <w:t>15. Маркетинговые сообщения</w:t>
      </w:r>
    </w:p>
    <w:p>
      <w:r>
        <w:rPr>
          <w:rFonts w:ascii="Arial" w:hAnsi="Arial" w:eastAsia="Arial" w:cs="Arial"/>
        </w:rPr>
        <w:t>15.1. Рекламные и информационно-маркетинговые сообщения направляются только при наличии отдельного предварительного согласия, если такое согласие требуется законом.</w:t>
      </w:r>
    </w:p>
    <w:p>
      <w:r>
        <w:rPr>
          <w:rFonts w:ascii="Arial" w:hAnsi="Arial" w:eastAsia="Arial" w:cs="Arial"/>
        </w:rPr>
        <w:t>15.2. Согласие можно отозвать по ссылке в сообщении или письмом на support@gappraisal.me.</w:t>
      </w:r>
    </w:p>
    <w:p>
      <w:r>
        <w:rPr>
          <w:rFonts w:ascii="Arial" w:hAnsi="Arial" w:eastAsia="Arial" w:cs="Arial"/>
        </w:rPr>
        <w:t>15.3. Отказ от маркетинга не препятствует отправке обязательных договорных, технических и связанных с безопасностью сообщений.</w:t>
      </w:r>
    </w:p>
    <w:p>
      <w:pPr>
        <w:pStyle w:val="Heading1"/>
      </w:pPr>
      <w:r>
        <w:rPr>
          <w:rFonts w:ascii="Arial" w:hAnsi="Arial" w:eastAsia="Arial" w:cs="Arial"/>
        </w:rPr>
        <w:t>16. Обязанности пользователя и организации-заказчика</w:t>
      </w:r>
    </w:p>
    <w:p>
      <w:r>
        <w:rPr>
          <w:rFonts w:ascii="Arial" w:hAnsi="Arial" w:eastAsia="Arial" w:cs="Arial"/>
        </w:rPr>
        <w:t>16.1. Пользователь не должен: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предоставлять чужие данные без полномочий и правового основания;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записывать третьих лиц без надлежащего уведомления;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загружать избыточные, специальные или биометрические данные;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сообщать пароль другим лицам;</w:t>
      </w:r>
    </w:p>
    <w:p>
      <w:pPr>
        <w:pStyle w:val="ListBullet"/>
        <w:spacing w:after="34"/>
        <w:ind w:left="340" w:hanging="170"/>
      </w:pPr>
      <w:r>
        <w:rPr>
          <w:rFonts w:ascii="Arial" w:hAnsi="Arial" w:eastAsia="Arial" w:cs="Arial"/>
        </w:rPr>
        <w:t>использовать Сервис для скрытого наблюдения или дискриминационного профилирования.</w:t>
      </w:r>
    </w:p>
    <w:p>
      <w:r>
        <w:rPr>
          <w:rFonts w:ascii="Arial" w:hAnsi="Arial" w:eastAsia="Arial" w:cs="Arial"/>
        </w:rPr>
        <w:t>16.2. Организация-заказчик обязана получить необходимые согласия, обеспечить достоверность данных, настроить права доступа и рассматривать обращения субъектов.</w:t>
      </w:r>
    </w:p>
    <w:p>
      <w:r>
        <w:rPr>
          <w:rFonts w:ascii="Arial" w:hAnsi="Arial" w:eastAsia="Arial" w:cs="Arial"/>
        </w:rPr>
        <w:t>16.3. Пользователь, обнаруживший ошибку, неправомерный доступ или возможную утечку, должен незамедлительно написать на support@gappraisal.me.</w:t>
      </w:r>
    </w:p>
    <w:p>
      <w:pPr>
        <w:pStyle w:val="Heading1"/>
      </w:pPr>
      <w:r>
        <w:rPr>
          <w:rFonts w:ascii="Arial" w:hAnsi="Arial" w:eastAsia="Arial" w:cs="Arial"/>
        </w:rPr>
        <w:t>17. Изменение Политики</w:t>
      </w:r>
    </w:p>
    <w:p>
      <w:r>
        <w:rPr>
          <w:rFonts w:ascii="Arial" w:hAnsi="Arial" w:eastAsia="Arial" w:cs="Arial"/>
        </w:rPr>
        <w:t>17.1. Оператор вправе изменять Политику при изменении законодательства, функциональности или процессов обработки.</w:t>
      </w:r>
    </w:p>
    <w:p>
      <w:r>
        <w:rPr>
          <w:rFonts w:ascii="Arial" w:hAnsi="Arial" w:eastAsia="Arial" w:cs="Arial"/>
        </w:rPr>
        <w:t>17.2. Новая редакция вступает в силу с указанной в ней даты и публикуется по неизменяемому адресу, указанному в пункте 1.4.</w:t>
      </w:r>
    </w:p>
    <w:p>
      <w:r>
        <w:rPr>
          <w:rFonts w:ascii="Arial" w:hAnsi="Arial" w:eastAsia="Arial" w:cs="Arial"/>
        </w:rPr>
        <w:t>17.3. Существенные изменения, расширяющие цели или состав обработки, не применяются задним числом без нового правового основания. Когда требуется согласие, оно запрашивается отдельно.</w:t>
      </w:r>
    </w:p>
    <w:p>
      <w:r>
        <w:rPr>
          <w:rFonts w:ascii="Arial" w:hAnsi="Arial" w:eastAsia="Arial" w:cs="Arial"/>
        </w:rPr>
        <w:t xml:space="preserve">17.4. Архив предыдущих редакций постоянно доступен по адресу </w:t>
      </w:r>
      <w:r>
        <w:rPr>
          <w:rFonts w:ascii="Consolas" w:hAnsi="Consolas" w:eastAsia="Consolas" w:cs="Consolas"/>
          <w:color w:val="25314A"/>
          <w:sz w:val="19"/>
        </w:rPr>
        <w:t>/legal</w:t>
      </w:r>
      <w:r>
        <w:rPr>
          <w:rFonts w:ascii="Arial" w:hAnsi="Arial" w:eastAsia="Arial" w:cs="Arial"/>
        </w:rPr>
        <w:t>; опубликованные файлы и их контрольные суммы не перезаписываются.</w:t>
      </w:r>
    </w:p>
    <w:p>
      <w:pPr>
        <w:pStyle w:val="Heading1"/>
      </w:pPr>
      <w:r>
        <w:rPr>
          <w:rFonts w:ascii="Arial" w:hAnsi="Arial" w:eastAsia="Arial" w:cs="Arial"/>
        </w:rPr>
        <w:t>18. Контакты</w:t>
      </w:r>
    </w:p>
    <w:p>
      <w:r>
        <w:rPr>
          <w:rFonts w:ascii="Arial" w:hAnsi="Arial" w:eastAsia="Arial" w:cs="Arial"/>
        </w:rPr>
        <w:t>18.1. Вопросы, запросы субъектов и сообщения об инцидентах направляются:</w:t>
      </w:r>
    </w:p>
    <w:p>
      <w:r>
        <w:rPr>
          <w:rFonts w:ascii="Arial" w:hAnsi="Arial" w:eastAsia="Arial" w:cs="Arial"/>
        </w:rPr>
        <w:t>Электронная почта: support@gappraisal.me</w:t>
      </w:r>
    </w:p>
    <w:p>
      <w:r>
        <w:rPr>
          <w:rFonts w:ascii="Arial" w:hAnsi="Arial" w:eastAsia="Arial" w:cs="Arial"/>
        </w:rPr>
        <w:t>Почтовый адрес: 107553, г. Москва, ул. Большая Черкизовская, д. 22, корп. 6, кв. 77</w:t>
      </w:r>
    </w:p>
    <w:p>
      <w:r>
        <w:rPr>
          <w:rFonts w:ascii="Arial" w:hAnsi="Arial" w:eastAsia="Arial" w:cs="Arial"/>
        </w:rPr>
        <w:t>Получатель: ООО «ПРОЦЕСС НОЛЬ»</w:t>
      </w:r>
    </w:p>
    <w:p>
      <w:r>
        <w:rPr>
          <w:rFonts w:ascii="Arial" w:hAnsi="Arial" w:eastAsia="Arial" w:cs="Arial"/>
        </w:rPr>
        <w:t>18.2. По вопросам целей и правовых оснований конкретной оценки субъект также вправе обратиться к организации, которая направила приглашение.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64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Arial" w:hAnsi="Arial" w:eastAsia="Arial" w:cs="Arial"/>
        <w:color w:val="5E6878"/>
        <w:sz w:val="16"/>
      </w:rPr>
      <w:t xml:space="preserve">Редакция 1.0  •  31.08.2026  •  стр. </w:t>
    </w:r>
    <w:r>
      <w:rPr>
        <w:rFonts w:ascii="Arial" w:hAnsi="Arial" w:eastAsia="Arial" w:cs="Arial"/>
        <w:color w:val="5E6878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color w:val="5E6878"/>
        <w:sz w:val="16"/>
      </w:rPr>
      <w:t xml:space="preserve"> из </w:t>
    </w:r>
    <w:r>
      <w:rPr>
        <w:rFonts w:ascii="Arial" w:hAnsi="Arial" w:eastAsia="Arial" w:cs="Arial"/>
        <w:color w:val="5E6878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  <w:tbl>
    <w:tblPr>
      <w:tblW w:type="dxa" w:w="9637"/>
      <w:jc w:val="center"/>
      <w:tblLayout w:type="fixed"/>
      <w:tblLook w:firstColumn="1" w:firstRow="1" w:lastColumn="0" w:lastRow="0" w:noHBand="0" w:noVBand="1" w:val="04A0"/>
      <w:tblInd w:type="dxa" w:w="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839"/>
      <w:gridCol w:w="3798"/>
    </w:tblGrid>
    <w:tr>
      <w:trPr>
        <w:tblHeader w:val="true"/>
        <w:cantSplit/>
      </w:trPr>
      <w:tc>
        <w:tcPr>
          <w:tcW w:type="dxa" w:w="4819"/>
          <w:tcMar>
            <w:top w:w="0" w:type="dxa"/>
            <w:start w:w="0" w:type="dxa"/>
            <w:bottom w:w="60" w:type="dxa"/>
            <w:end w:w="0" w:type="dxa"/>
          </w:tcMar>
        </w:tcPr>
        <w:p>
          <w:r>
            <w:rPr>
              <w:rFonts w:ascii="Arial" w:hAnsi="Arial" w:eastAsia="Arial" w:cs="Arial"/>
              <w:b/>
              <w:color w:val="008F7A"/>
              <w:sz w:val="16"/>
            </w:rPr>
            <w:t>GAPPRAISAL</w:t>
          </w:r>
          <w:r>
            <w:rPr>
              <w:rFonts w:ascii="Arial" w:hAnsi="Arial" w:eastAsia="Arial" w:cs="Arial"/>
              <w:color w:val="5E6878"/>
              <w:sz w:val="15"/>
            </w:rPr>
            <w:t xml:space="preserve">  •  ООО «ПРОЦЕСС НОЛЬ»</w:t>
          </w:r>
        </w:p>
      </w:tc>
      <w:tc>
        <w:tcPr>
          <w:tcW w:type="dxa" w:w="4819"/>
          <w:tcMar>
            <w:top w:w="0" w:type="dxa"/>
            <w:start w:w="0" w:type="dxa"/>
            <w:bottom w:w="60" w:type="dxa"/>
            <w:end w:w="0" w:type="dxa"/>
          </w:tcMar>
        </w:tcPr>
        <w:p>
          <w:pPr>
            <w:jc w:val="right"/>
          </w:pPr>
          <w:r>
            <w:rPr>
              <w:rFonts w:ascii="Arial" w:hAnsi="Arial" w:eastAsia="Arial" w:cs="Arial"/>
              <w:color w:val="5E6878"/>
              <w:sz w:val="15"/>
            </w:rPr>
            <w:t>ПОЛИТИКА КОНФИДЕНЦИАЛЬНОСТИ И COOKIE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4" w:line="252" w:lineRule="auto"/>
    </w:pPr>
    <w:rPr>
      <w:rFonts w:ascii="Arial" w:hAnsi="Arial" w:eastAsia="Arial"/>
      <w:color w:val="1720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20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8F7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40" w:after="6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531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widowControl/>
      <w:spacing w:before="120" w:after="4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25314A"/>
      <w:sz w:val="1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200" w:line="240" w:lineRule="auto" w:before="160"/>
      <w:contextualSpacing/>
      <w:jc w:val="center"/>
    </w:pPr>
    <w:rPr>
      <w:rFonts w:asciiTheme="majorHAnsi" w:eastAsiaTheme="majorEastAsia" w:hAnsiTheme="majorHAnsi" w:cstheme="majorBidi" w:ascii="Arial" w:hAnsi="Arial" w:eastAsia="Arial"/>
      <w:b/>
      <w:color w:val="172033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00" w:after="100"/>
      <w:ind w:left="283" w:right="283"/>
    </w:pPr>
    <w:rPr>
      <w:rFonts w:ascii="Arial" w:hAnsi="Arial" w:eastAsia="Arial"/>
      <w:color w:val="25314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Gappraisal — Политика конфиденциальности и cookie</dc:title>
  <dc:subject>Политика обработки персональных данных и использования файлов cookie Gappraisal</dc:subject>
  <dc:creator>ООО «ПРОЦЕСС НОЛЬ»</dc:creator>
  <cp:keywords>Gappraisal; SaaS; оферта; персональные данные; исключительные права</cp:keywords>
  <dc:description>Редакция 1.0 от 31.08.2026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